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6C" w:rsidRDefault="00DE526C">
      <w:bookmarkStart w:id="0" w:name="_GoBack"/>
      <w:bookmarkEnd w:id="0"/>
    </w:p>
    <w:p w:rsidR="00DE526C" w:rsidRDefault="00DE526C"/>
    <w:p w:rsidR="00DE526C" w:rsidRDefault="00DE526C"/>
    <w:p w:rsidR="00DE526C" w:rsidRDefault="00212BC1">
      <w:pPr>
        <w:pBdr>
          <w:bottom w:val="double" w:sz="6" w:space="1" w:color="000000"/>
        </w:pBdr>
        <w:jc w:val="center"/>
        <w:rPr>
          <w:sz w:val="20"/>
          <w:szCs w:val="20"/>
          <w:lang w:val="lv-LV"/>
        </w:rPr>
      </w:pPr>
      <w:r>
        <w:rPr>
          <w:b/>
          <w:bCs/>
          <w:i/>
          <w:iCs/>
          <w:sz w:val="36"/>
          <w:lang w:val="en-US"/>
        </w:rPr>
        <w:t>SIA</w:t>
      </w:r>
      <w:r>
        <w:rPr>
          <w:b/>
          <w:bCs/>
          <w:i/>
          <w:iCs/>
          <w:sz w:val="36"/>
          <w:lang w:val="lv-LV"/>
        </w:rPr>
        <w:t xml:space="preserve"> </w:t>
      </w:r>
      <w:proofErr w:type="gramStart"/>
      <w:r>
        <w:rPr>
          <w:b/>
          <w:bCs/>
          <w:i/>
          <w:iCs/>
          <w:sz w:val="36"/>
          <w:lang w:val="lv-LV"/>
        </w:rPr>
        <w:t>“ BR</w:t>
      </w:r>
      <w:proofErr w:type="gramEnd"/>
      <w:r>
        <w:rPr>
          <w:b/>
          <w:bCs/>
          <w:i/>
          <w:iCs/>
          <w:sz w:val="36"/>
          <w:lang w:val="lv-LV"/>
        </w:rPr>
        <w:t xml:space="preserve"> Fabrika “</w:t>
      </w:r>
    </w:p>
    <w:p w:rsidR="00DE526C" w:rsidRDefault="00212BC1">
      <w:pPr>
        <w:rPr>
          <w:sz w:val="20"/>
          <w:szCs w:val="20"/>
        </w:rPr>
      </w:pPr>
      <w:r>
        <w:rPr>
          <w:sz w:val="20"/>
          <w:szCs w:val="20"/>
          <w:lang w:val="lv-LV"/>
        </w:rPr>
        <w:t xml:space="preserve">       Līksnas iela 11,Rīga,LV-1003, t/fax +371 6 7620963, reg. </w:t>
      </w:r>
      <w:r>
        <w:rPr>
          <w:sz w:val="20"/>
          <w:szCs w:val="20"/>
        </w:rPr>
        <w:t xml:space="preserve">Nr.LV 40103690830                                       </w:t>
      </w:r>
    </w:p>
    <w:p w:rsidR="00DE526C" w:rsidRDefault="00212BC1">
      <w:pPr>
        <w:rPr>
          <w:lang w:val="lv-LV"/>
        </w:rPr>
      </w:pPr>
      <w:r>
        <w:rPr>
          <w:b/>
          <w:sz w:val="20"/>
          <w:szCs w:val="20"/>
        </w:rPr>
        <w:t>E-mail: pelmeni@pelmeni.lv</w:t>
      </w:r>
    </w:p>
    <w:p w:rsidR="00DE526C" w:rsidRDefault="00DE526C">
      <w:pPr>
        <w:rPr>
          <w:lang w:val="lv-LV"/>
        </w:rPr>
      </w:pPr>
    </w:p>
    <w:p w:rsidR="00DE526C" w:rsidRDefault="00212BC1">
      <w:pPr>
        <w:ind w:left="900"/>
        <w:rPr>
          <w:b/>
          <w:sz w:val="32"/>
          <w:szCs w:val="32"/>
          <w:lang w:val="lv-LV"/>
        </w:rPr>
      </w:pPr>
      <w:r>
        <w:rPr>
          <w:lang w:val="lv-LV"/>
        </w:rPr>
        <w:t xml:space="preserve">                                                                          </w:t>
      </w:r>
    </w:p>
    <w:p w:rsidR="00DE526C" w:rsidRDefault="00212BC1">
      <w:pPr>
        <w:jc w:val="center"/>
        <w:rPr>
          <w:b/>
          <w:sz w:val="32"/>
          <w:szCs w:val="32"/>
          <w:vertAlign w:val="superscript"/>
          <w:lang w:val="lv-LV"/>
        </w:rPr>
      </w:pPr>
      <w:r>
        <w:rPr>
          <w:b/>
          <w:sz w:val="32"/>
          <w:szCs w:val="32"/>
          <w:lang w:val="lv-LV"/>
        </w:rPr>
        <w:t>Quality Certificate No  14/2018  for IQF dumplings</w:t>
      </w:r>
    </w:p>
    <w:p w:rsidR="00DE526C" w:rsidRDefault="00DE526C">
      <w:pPr>
        <w:jc w:val="center"/>
        <w:rPr>
          <w:b/>
          <w:sz w:val="32"/>
          <w:szCs w:val="32"/>
          <w:vertAlign w:val="superscript"/>
          <w:lang w:val="lv-LV"/>
        </w:rPr>
      </w:pPr>
    </w:p>
    <w:p w:rsidR="00DE526C" w:rsidRDefault="00212BC1">
      <w:pPr>
        <w:rPr>
          <w:lang w:val="lv-LV"/>
        </w:rPr>
      </w:pPr>
      <w:r>
        <w:rPr>
          <w:b/>
          <w:lang w:val="lv-LV"/>
        </w:rPr>
        <w:t>Producer:</w:t>
      </w:r>
      <w:r>
        <w:rPr>
          <w:lang w:val="lv-LV"/>
        </w:rPr>
        <w:t xml:space="preserve">               BR Fabrika SIA, reg.n° 40103690830, approval n° A 005635</w:t>
      </w:r>
    </w:p>
    <w:p w:rsidR="00DE526C" w:rsidRDefault="00212BC1">
      <w:pPr>
        <w:rPr>
          <w:lang w:val="lv-LV"/>
        </w:rPr>
      </w:pPr>
      <w:r>
        <w:rPr>
          <w:lang w:val="lv-LV"/>
        </w:rPr>
        <w:t xml:space="preserve"> </w:t>
      </w:r>
    </w:p>
    <w:p w:rsidR="00DE526C" w:rsidRDefault="00212BC1">
      <w:pPr>
        <w:rPr>
          <w:lang w:val="lv-LV"/>
        </w:rPr>
      </w:pPr>
      <w:r>
        <w:rPr>
          <w:lang w:val="lv-LV"/>
        </w:rPr>
        <w:t>1.</w:t>
      </w:r>
      <w:r>
        <w:rPr>
          <w:b/>
          <w:lang w:val="lv-LV"/>
        </w:rPr>
        <w:t>Frozen dumplings</w:t>
      </w:r>
      <w:r>
        <w:rPr>
          <w:lang w:val="lv-LV"/>
        </w:rPr>
        <w:t xml:space="preserve">:  </w:t>
      </w:r>
      <w:r>
        <w:rPr>
          <w:rStyle w:val="hps"/>
          <w:lang w:val="en"/>
        </w:rPr>
        <w:t>Dumplings</w:t>
      </w:r>
      <w:r>
        <w:rPr>
          <w:lang w:val="en"/>
        </w:rPr>
        <w:t xml:space="preserve"> </w:t>
      </w:r>
      <w:r>
        <w:rPr>
          <w:rStyle w:val="hps"/>
          <w:lang w:val="en"/>
        </w:rPr>
        <w:t xml:space="preserve">with pork meat </w:t>
      </w:r>
      <w:proofErr w:type="spellStart"/>
      <w:r>
        <w:rPr>
          <w:rStyle w:val="hps"/>
          <w:lang w:val="en"/>
        </w:rPr>
        <w:t>Harmavili</w:t>
      </w:r>
      <w:proofErr w:type="spellEnd"/>
      <w:r>
        <w:rPr>
          <w:rStyle w:val="hps"/>
          <w:lang w:val="en"/>
        </w:rPr>
        <w:t xml:space="preserve"> mini.</w:t>
      </w:r>
    </w:p>
    <w:p w:rsidR="00DE526C" w:rsidRDefault="00212BC1">
      <w:pPr>
        <w:rPr>
          <w:lang w:val="lv-LV"/>
        </w:rPr>
      </w:pPr>
      <w:r>
        <w:rPr>
          <w:lang w:val="lv-LV"/>
        </w:rPr>
        <w:t>2.</w:t>
      </w:r>
      <w:r>
        <w:rPr>
          <w:b/>
          <w:lang w:val="lv-LV"/>
        </w:rPr>
        <w:t>Appearance</w:t>
      </w:r>
      <w:r>
        <w:rPr>
          <w:lang w:val="lv-LV"/>
        </w:rPr>
        <w:t>:             Dumplings are not sticked together, are not deformed.                                     Sides are sealed well, the stuffing is not seen, outside dry.Taste : cooked products should be with a pleasant taste characteristic to materials, used in production, with no extraneous taste, meat filling juicy and not over salted, with taste of the used spice and raw materials. Pastry shell cooked-soft, meat filling –juicy but firm. Color of the item- white. Shape – circle 3g.</w:t>
      </w:r>
    </w:p>
    <w:p w:rsidR="00DE526C" w:rsidRDefault="00DE526C">
      <w:pPr>
        <w:rPr>
          <w:lang w:val="lv-LV"/>
        </w:rPr>
      </w:pPr>
    </w:p>
    <w:p w:rsidR="00DE526C" w:rsidRDefault="00212BC1">
      <w:pPr>
        <w:rPr>
          <w:lang w:val="lv-LV"/>
        </w:rPr>
      </w:pPr>
      <w:r>
        <w:rPr>
          <w:lang w:val="lv-LV"/>
        </w:rPr>
        <w:t>3.</w:t>
      </w:r>
      <w:r>
        <w:rPr>
          <w:b/>
          <w:lang w:val="lv-LV"/>
        </w:rPr>
        <w:t>Microbiological</w:t>
      </w:r>
      <w:r>
        <w:rPr>
          <w:lang w:val="lv-LV"/>
        </w:rPr>
        <w:t>:       Salmonella  spp :  not allowed in 10g ( LVS EN/ISP 6579:2003 )</w:t>
      </w:r>
    </w:p>
    <w:p w:rsidR="00DE526C" w:rsidRDefault="00212BC1">
      <w:pPr>
        <w:rPr>
          <w:lang w:val="lv-LV"/>
        </w:rPr>
      </w:pPr>
      <w:r>
        <w:rPr>
          <w:lang w:val="lv-LV"/>
        </w:rPr>
        <w:t xml:space="preserve">                                      E.Coli : max 2 samples from 5 may be in the limitations from </w:t>
      </w:r>
    </w:p>
    <w:p w:rsidR="00DE526C" w:rsidRDefault="00212BC1">
      <w:pPr>
        <w:rPr>
          <w:lang w:val="lv-LV"/>
        </w:rPr>
      </w:pPr>
      <w:r>
        <w:rPr>
          <w:lang w:val="lv-LV"/>
        </w:rPr>
        <w:t xml:space="preserve">                                       500cfu/g to 5000cfu/g ( ISO 16649-2:2007 )  </w:t>
      </w:r>
    </w:p>
    <w:p w:rsidR="00DE526C" w:rsidRDefault="00212BC1">
      <w:pPr>
        <w:rPr>
          <w:lang w:val="lv-LV"/>
        </w:rPr>
      </w:pPr>
      <w:r>
        <w:rPr>
          <w:lang w:val="lv-LV"/>
        </w:rPr>
        <w:t xml:space="preserve">  </w:t>
      </w:r>
    </w:p>
    <w:p w:rsidR="00DE526C" w:rsidRDefault="00212BC1">
      <w:pPr>
        <w:tabs>
          <w:tab w:val="left" w:pos="2340"/>
        </w:tabs>
      </w:pPr>
      <w:r>
        <w:rPr>
          <w:lang w:val="lv-LV"/>
        </w:rPr>
        <w:t>4.</w:t>
      </w:r>
      <w:r>
        <w:rPr>
          <w:b/>
          <w:lang w:val="lv-LV"/>
        </w:rPr>
        <w:t xml:space="preserve">Ingredients: </w:t>
      </w:r>
      <w:r>
        <w:rPr>
          <w:rStyle w:val="hps"/>
          <w:lang w:val="en"/>
        </w:rPr>
        <w:t>Dough 55%: (</w:t>
      </w:r>
      <w:r>
        <w:rPr>
          <w:rStyle w:val="hps"/>
          <w:b/>
          <w:lang w:val="en"/>
        </w:rPr>
        <w:t>Wheat</w:t>
      </w:r>
      <w:r>
        <w:rPr>
          <w:rStyle w:val="hps"/>
          <w:lang w:val="en"/>
        </w:rPr>
        <w:t xml:space="preserve"> flour, potable water, </w:t>
      </w:r>
      <w:r>
        <w:rPr>
          <w:rStyle w:val="hps"/>
          <w:b/>
          <w:lang w:val="en"/>
        </w:rPr>
        <w:t>egg</w:t>
      </w:r>
      <w:r>
        <w:rPr>
          <w:rStyle w:val="hps"/>
          <w:lang w:val="en"/>
        </w:rPr>
        <w:t xml:space="preserve"> mass, rape seed oil, </w:t>
      </w:r>
      <w:r>
        <w:rPr>
          <w:rStyle w:val="hps"/>
          <w:b/>
          <w:lang w:val="en"/>
        </w:rPr>
        <w:t xml:space="preserve">wheat </w:t>
      </w:r>
      <w:r>
        <w:rPr>
          <w:rStyle w:val="hps"/>
          <w:lang w:val="en"/>
        </w:rPr>
        <w:t>fiber.) Filling 45%: (pork 58.5 %, onions, vegetable protein, common salt, sugar, mix of spices (black pepper, allspice).</w:t>
      </w:r>
    </w:p>
    <w:p w:rsidR="00DE526C" w:rsidRDefault="00DE526C">
      <w:pPr>
        <w:tabs>
          <w:tab w:val="left" w:pos="2340"/>
        </w:tabs>
      </w:pPr>
    </w:p>
    <w:p w:rsidR="00DE526C" w:rsidRDefault="00212BC1">
      <w:pPr>
        <w:tabs>
          <w:tab w:val="left" w:pos="2340"/>
        </w:tabs>
        <w:rPr>
          <w:lang w:val="lv-LV"/>
        </w:rPr>
      </w:pPr>
      <w:r>
        <w:rPr>
          <w:lang w:val="lv-LV"/>
        </w:rPr>
        <w:t>5.</w:t>
      </w:r>
      <w:r>
        <w:rPr>
          <w:b/>
          <w:lang w:val="lv-LV"/>
        </w:rPr>
        <w:t xml:space="preserve">Nutritional information : </w:t>
      </w:r>
    </w:p>
    <w:tbl>
      <w:tblPr>
        <w:tblW w:w="6920" w:type="dxa"/>
        <w:tblInd w:w="93" w:type="dxa"/>
        <w:tblLayout w:type="fixed"/>
        <w:tblLook w:val="04A0" w:firstRow="1" w:lastRow="0" w:firstColumn="1" w:lastColumn="0" w:noHBand="0" w:noVBand="1"/>
      </w:tblPr>
      <w:tblGrid>
        <w:gridCol w:w="2200"/>
        <w:gridCol w:w="840"/>
        <w:gridCol w:w="1260"/>
        <w:gridCol w:w="1240"/>
        <w:gridCol w:w="1380"/>
      </w:tblGrid>
      <w:tr w:rsidR="00DE526C">
        <w:trPr>
          <w:trHeight w:val="90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Average nutritional values:</w:t>
            </w:r>
          </w:p>
        </w:tc>
        <w:tc>
          <w:tcPr>
            <w:tcW w:w="840" w:type="dxa"/>
            <w:tcBorders>
              <w:top w:val="single" w:sz="4" w:space="0" w:color="auto"/>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pro 100g</w:t>
            </w:r>
          </w:p>
        </w:tc>
        <w:tc>
          <w:tcPr>
            <w:tcW w:w="1240" w:type="dxa"/>
            <w:tcBorders>
              <w:top w:val="single" w:sz="4" w:space="0" w:color="auto"/>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GDA*</w:t>
            </w:r>
          </w:p>
        </w:tc>
        <w:tc>
          <w:tcPr>
            <w:tcW w:w="1380" w:type="dxa"/>
            <w:tcBorders>
              <w:top w:val="single" w:sz="4" w:space="0" w:color="auto"/>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GDA* pro Portion</w:t>
            </w:r>
          </w:p>
        </w:tc>
      </w:tr>
      <w:tr w:rsidR="00DE526C">
        <w:trPr>
          <w:trHeight w:val="510"/>
        </w:trPr>
        <w:tc>
          <w:tcPr>
            <w:tcW w:w="2200" w:type="dxa"/>
            <w:tcBorders>
              <w:top w:val="nil"/>
              <w:left w:val="single" w:sz="4" w:space="0" w:color="auto"/>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Energy value</w:t>
            </w:r>
          </w:p>
        </w:tc>
        <w:tc>
          <w:tcPr>
            <w:tcW w:w="8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proofErr w:type="spellStart"/>
            <w:r>
              <w:rPr>
                <w:rFonts w:ascii="Calibri" w:hAnsi="Calibri" w:cs="Arial"/>
                <w:color w:val="000000"/>
                <w:sz w:val="22"/>
                <w:szCs w:val="22"/>
                <w:lang w:val="en-US" w:eastAsia="en-US"/>
              </w:rPr>
              <w:t>kj</w:t>
            </w:r>
            <w:proofErr w:type="spellEnd"/>
            <w:r>
              <w:rPr>
                <w:rFonts w:ascii="Calibri" w:hAnsi="Calibri" w:cs="Arial"/>
                <w:color w:val="000000"/>
                <w:sz w:val="22"/>
                <w:szCs w:val="22"/>
                <w:lang w:val="en-US" w:eastAsia="en-US"/>
              </w:rPr>
              <w:t>/kcal</w:t>
            </w:r>
          </w:p>
        </w:tc>
        <w:tc>
          <w:tcPr>
            <w:tcW w:w="1260" w:type="dxa"/>
            <w:tcBorders>
              <w:top w:val="nil"/>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734/174</w:t>
            </w:r>
          </w:p>
        </w:tc>
        <w:tc>
          <w:tcPr>
            <w:tcW w:w="12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2000</w:t>
            </w:r>
          </w:p>
        </w:tc>
        <w:tc>
          <w:tcPr>
            <w:tcW w:w="1380" w:type="dxa"/>
            <w:tcBorders>
              <w:top w:val="nil"/>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9%</w:t>
            </w:r>
          </w:p>
        </w:tc>
      </w:tr>
      <w:tr w:rsidR="00DE526C">
        <w:trPr>
          <w:trHeight w:val="495"/>
        </w:trPr>
        <w:tc>
          <w:tcPr>
            <w:tcW w:w="2200" w:type="dxa"/>
            <w:tcBorders>
              <w:top w:val="nil"/>
              <w:left w:val="single" w:sz="4" w:space="0" w:color="auto"/>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Fat</w:t>
            </w:r>
          </w:p>
        </w:tc>
        <w:tc>
          <w:tcPr>
            <w:tcW w:w="8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g</w:t>
            </w:r>
          </w:p>
        </w:tc>
        <w:tc>
          <w:tcPr>
            <w:tcW w:w="126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4.9</w:t>
            </w:r>
          </w:p>
        </w:tc>
        <w:tc>
          <w:tcPr>
            <w:tcW w:w="124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70</w:t>
            </w:r>
          </w:p>
        </w:tc>
        <w:tc>
          <w:tcPr>
            <w:tcW w:w="138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7%</w:t>
            </w:r>
          </w:p>
        </w:tc>
      </w:tr>
      <w:tr w:rsidR="00DE526C">
        <w:trPr>
          <w:trHeight w:val="495"/>
        </w:trPr>
        <w:tc>
          <w:tcPr>
            <w:tcW w:w="2200" w:type="dxa"/>
            <w:tcBorders>
              <w:top w:val="nil"/>
              <w:left w:val="single" w:sz="4" w:space="0" w:color="auto"/>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of which saturates</w:t>
            </w:r>
          </w:p>
        </w:tc>
        <w:tc>
          <w:tcPr>
            <w:tcW w:w="8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g</w:t>
            </w:r>
          </w:p>
        </w:tc>
        <w:tc>
          <w:tcPr>
            <w:tcW w:w="126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3.1</w:t>
            </w:r>
          </w:p>
        </w:tc>
        <w:tc>
          <w:tcPr>
            <w:tcW w:w="124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20</w:t>
            </w:r>
          </w:p>
        </w:tc>
        <w:tc>
          <w:tcPr>
            <w:tcW w:w="138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16%</w:t>
            </w:r>
          </w:p>
        </w:tc>
      </w:tr>
      <w:tr w:rsidR="00DE526C">
        <w:trPr>
          <w:trHeight w:val="420"/>
        </w:trPr>
        <w:tc>
          <w:tcPr>
            <w:tcW w:w="2200" w:type="dxa"/>
            <w:tcBorders>
              <w:top w:val="nil"/>
              <w:left w:val="single" w:sz="4" w:space="0" w:color="auto"/>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Carbohydrates</w:t>
            </w:r>
          </w:p>
        </w:tc>
        <w:tc>
          <w:tcPr>
            <w:tcW w:w="8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g</w:t>
            </w:r>
          </w:p>
        </w:tc>
        <w:tc>
          <w:tcPr>
            <w:tcW w:w="1260" w:type="dxa"/>
            <w:tcBorders>
              <w:top w:val="nil"/>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25</w:t>
            </w:r>
          </w:p>
        </w:tc>
        <w:tc>
          <w:tcPr>
            <w:tcW w:w="12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270</w:t>
            </w:r>
          </w:p>
        </w:tc>
        <w:tc>
          <w:tcPr>
            <w:tcW w:w="138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9%</w:t>
            </w:r>
          </w:p>
        </w:tc>
      </w:tr>
      <w:tr w:rsidR="00DE526C">
        <w:trPr>
          <w:trHeight w:val="510"/>
        </w:trPr>
        <w:tc>
          <w:tcPr>
            <w:tcW w:w="2200" w:type="dxa"/>
            <w:tcBorders>
              <w:top w:val="nil"/>
              <w:left w:val="single" w:sz="4" w:space="0" w:color="auto"/>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of which sugars</w:t>
            </w:r>
          </w:p>
        </w:tc>
        <w:tc>
          <w:tcPr>
            <w:tcW w:w="8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g</w:t>
            </w:r>
          </w:p>
        </w:tc>
        <w:tc>
          <w:tcPr>
            <w:tcW w:w="126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1.6</w:t>
            </w:r>
          </w:p>
        </w:tc>
        <w:tc>
          <w:tcPr>
            <w:tcW w:w="124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90</w:t>
            </w:r>
          </w:p>
        </w:tc>
        <w:tc>
          <w:tcPr>
            <w:tcW w:w="138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2%</w:t>
            </w:r>
          </w:p>
        </w:tc>
      </w:tr>
      <w:tr w:rsidR="00DE526C">
        <w:trPr>
          <w:trHeight w:val="465"/>
        </w:trPr>
        <w:tc>
          <w:tcPr>
            <w:tcW w:w="2200" w:type="dxa"/>
            <w:tcBorders>
              <w:top w:val="nil"/>
              <w:left w:val="single" w:sz="4" w:space="0" w:color="auto"/>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Fiber</w:t>
            </w:r>
          </w:p>
        </w:tc>
        <w:tc>
          <w:tcPr>
            <w:tcW w:w="8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g</w:t>
            </w:r>
          </w:p>
        </w:tc>
        <w:tc>
          <w:tcPr>
            <w:tcW w:w="126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0.96</w:t>
            </w:r>
          </w:p>
        </w:tc>
        <w:tc>
          <w:tcPr>
            <w:tcW w:w="124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25</w:t>
            </w:r>
          </w:p>
        </w:tc>
        <w:tc>
          <w:tcPr>
            <w:tcW w:w="138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4%</w:t>
            </w:r>
          </w:p>
        </w:tc>
      </w:tr>
      <w:tr w:rsidR="00DE526C">
        <w:trPr>
          <w:trHeight w:val="465"/>
        </w:trPr>
        <w:tc>
          <w:tcPr>
            <w:tcW w:w="2200" w:type="dxa"/>
            <w:tcBorders>
              <w:top w:val="nil"/>
              <w:left w:val="single" w:sz="4" w:space="0" w:color="auto"/>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Protein</w:t>
            </w:r>
          </w:p>
        </w:tc>
        <w:tc>
          <w:tcPr>
            <w:tcW w:w="8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g</w:t>
            </w:r>
          </w:p>
        </w:tc>
        <w:tc>
          <w:tcPr>
            <w:tcW w:w="1260" w:type="dxa"/>
            <w:tcBorders>
              <w:top w:val="nil"/>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11.1</w:t>
            </w:r>
          </w:p>
        </w:tc>
        <w:tc>
          <w:tcPr>
            <w:tcW w:w="12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50</w:t>
            </w:r>
          </w:p>
        </w:tc>
        <w:tc>
          <w:tcPr>
            <w:tcW w:w="138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22%</w:t>
            </w:r>
          </w:p>
        </w:tc>
      </w:tr>
      <w:tr w:rsidR="00DE526C">
        <w:trPr>
          <w:trHeight w:val="495"/>
        </w:trPr>
        <w:tc>
          <w:tcPr>
            <w:tcW w:w="2200" w:type="dxa"/>
            <w:tcBorders>
              <w:top w:val="nil"/>
              <w:left w:val="single" w:sz="4" w:space="0" w:color="auto"/>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Salt</w:t>
            </w:r>
          </w:p>
        </w:tc>
        <w:tc>
          <w:tcPr>
            <w:tcW w:w="840" w:type="dxa"/>
            <w:tcBorders>
              <w:top w:val="nil"/>
              <w:left w:val="nil"/>
              <w:bottom w:val="single" w:sz="4" w:space="0" w:color="auto"/>
              <w:right w:val="single" w:sz="4" w:space="0" w:color="auto"/>
            </w:tcBorders>
            <w:shd w:val="clear" w:color="auto" w:fill="auto"/>
            <w:vAlign w:val="center"/>
          </w:tcPr>
          <w:p w:rsidR="00DE526C" w:rsidRDefault="00212BC1">
            <w:pPr>
              <w:suppressAutoHyphens w:val="0"/>
              <w:rPr>
                <w:rFonts w:ascii="Calibri" w:hAnsi="Calibri" w:cs="Arial"/>
                <w:color w:val="000000"/>
                <w:sz w:val="22"/>
                <w:szCs w:val="22"/>
                <w:lang w:val="en-US" w:eastAsia="en-US"/>
              </w:rPr>
            </w:pPr>
            <w:r>
              <w:rPr>
                <w:rFonts w:ascii="Calibri" w:hAnsi="Calibri" w:cs="Arial"/>
                <w:color w:val="000000"/>
                <w:sz w:val="22"/>
                <w:szCs w:val="22"/>
                <w:lang w:val="en-US" w:eastAsia="en-US"/>
              </w:rPr>
              <w:t>g</w:t>
            </w:r>
          </w:p>
        </w:tc>
        <w:tc>
          <w:tcPr>
            <w:tcW w:w="126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1.2</w:t>
            </w:r>
          </w:p>
        </w:tc>
        <w:tc>
          <w:tcPr>
            <w:tcW w:w="124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6</w:t>
            </w:r>
          </w:p>
        </w:tc>
        <w:tc>
          <w:tcPr>
            <w:tcW w:w="1380" w:type="dxa"/>
            <w:tcBorders>
              <w:top w:val="nil"/>
              <w:left w:val="nil"/>
              <w:bottom w:val="single" w:sz="4" w:space="0" w:color="auto"/>
              <w:right w:val="single" w:sz="4" w:space="0" w:color="auto"/>
            </w:tcBorders>
            <w:shd w:val="clear" w:color="auto" w:fill="FFFFFF"/>
            <w:vAlign w:val="center"/>
          </w:tcPr>
          <w:p w:rsidR="00DE526C" w:rsidRDefault="00212BC1">
            <w:pPr>
              <w:suppressAutoHyphens w:val="0"/>
              <w:jc w:val="center"/>
              <w:rPr>
                <w:rFonts w:ascii="Calibri" w:hAnsi="Calibri" w:cs="Arial"/>
                <w:color w:val="000000"/>
                <w:sz w:val="22"/>
                <w:szCs w:val="22"/>
                <w:lang w:val="en-US" w:eastAsia="en-US"/>
              </w:rPr>
            </w:pPr>
            <w:r>
              <w:rPr>
                <w:rFonts w:ascii="Calibri" w:hAnsi="Calibri" w:cs="Arial"/>
                <w:color w:val="000000"/>
                <w:sz w:val="22"/>
                <w:szCs w:val="22"/>
                <w:lang w:val="en-US" w:eastAsia="en-US"/>
              </w:rPr>
              <w:t>20%</w:t>
            </w:r>
          </w:p>
        </w:tc>
      </w:tr>
    </w:tbl>
    <w:p w:rsidR="00DE526C" w:rsidRDefault="00DE526C">
      <w:pPr>
        <w:tabs>
          <w:tab w:val="left" w:pos="2340"/>
        </w:tabs>
        <w:rPr>
          <w:lang w:val="lv-LV"/>
        </w:rPr>
      </w:pPr>
    </w:p>
    <w:p w:rsidR="00DE526C" w:rsidRDefault="00DE526C">
      <w:pPr>
        <w:tabs>
          <w:tab w:val="left" w:pos="2340"/>
        </w:tabs>
      </w:pPr>
    </w:p>
    <w:p w:rsidR="00DE526C" w:rsidRDefault="00212BC1">
      <w:pPr>
        <w:tabs>
          <w:tab w:val="left" w:pos="2340"/>
        </w:tabs>
        <w:rPr>
          <w:lang w:val="lv-LV"/>
        </w:rPr>
      </w:pPr>
      <w:r>
        <w:rPr>
          <w:lang w:val="lv-LV"/>
        </w:rPr>
        <w:t>6.</w:t>
      </w:r>
      <w:r>
        <w:rPr>
          <w:b/>
          <w:lang w:val="lv-LV"/>
        </w:rPr>
        <w:t>Packing</w:t>
      </w:r>
      <w:r>
        <w:rPr>
          <w:lang w:val="lv-LV"/>
        </w:rPr>
        <w:t>:     PE40/PET12  0.7kg x 16pcs</w:t>
      </w:r>
    </w:p>
    <w:p w:rsidR="00DE526C" w:rsidRDefault="00DE526C">
      <w:pPr>
        <w:tabs>
          <w:tab w:val="left" w:pos="2340"/>
        </w:tabs>
        <w:rPr>
          <w:lang w:val="lv-LV"/>
        </w:rPr>
      </w:pPr>
    </w:p>
    <w:p w:rsidR="00DE526C" w:rsidRDefault="00212BC1">
      <w:pPr>
        <w:keepNext/>
        <w:keepLines/>
        <w:autoSpaceDE w:val="0"/>
      </w:pPr>
      <w:proofErr w:type="gramStart"/>
      <w:r>
        <w:t>7</w:t>
      </w:r>
      <w:r>
        <w:rPr>
          <w:b/>
          <w:sz w:val="20"/>
          <w:szCs w:val="20"/>
          <w:lang w:val="en-US"/>
        </w:rPr>
        <w:t>.</w:t>
      </w:r>
      <w:r>
        <w:rPr>
          <w:b/>
        </w:rPr>
        <w:t>Preparation</w:t>
      </w:r>
      <w:proofErr w:type="gramEnd"/>
      <w:r>
        <w:rPr>
          <w:b/>
        </w:rPr>
        <w:t xml:space="preserve"> instruction</w:t>
      </w:r>
      <w:r>
        <w:rPr>
          <w:b/>
          <w:sz w:val="20"/>
          <w:szCs w:val="20"/>
          <w:lang w:val="en-US"/>
        </w:rPr>
        <w:t xml:space="preserve">  </w:t>
      </w:r>
    </w:p>
    <w:p w:rsidR="00DE526C" w:rsidRDefault="00212BC1">
      <w:r>
        <w:t>Put dumplings one by one in boiling water. Water and dumplings proportion should be 2/1, add some salt and spice to your liking and continue boiling</w:t>
      </w:r>
    </w:p>
    <w:p w:rsidR="00DE526C" w:rsidRDefault="00212BC1">
      <w:proofErr w:type="gramStart"/>
      <w:r>
        <w:t>approximately</w:t>
      </w:r>
      <w:proofErr w:type="gramEnd"/>
      <w:r>
        <w:t xml:space="preserve"> </w:t>
      </w:r>
      <w:r>
        <w:rPr>
          <w:lang w:val="en-US"/>
        </w:rPr>
        <w:t>5-7</w:t>
      </w:r>
      <w:r>
        <w:t xml:space="preserve"> minutes, stirring slowly. </w:t>
      </w:r>
      <w:r>
        <w:rPr>
          <w:bCs/>
        </w:rPr>
        <w:t xml:space="preserve">2. </w:t>
      </w:r>
      <w:r>
        <w:t xml:space="preserve">We recommend before frying </w:t>
      </w:r>
      <w:proofErr w:type="spellStart"/>
      <w:r>
        <w:t>pelmeni</w:t>
      </w:r>
      <w:proofErr w:type="spellEnd"/>
      <w:r>
        <w:t xml:space="preserve"> to</w:t>
      </w:r>
    </w:p>
    <w:p w:rsidR="00DE526C" w:rsidRDefault="00212BC1">
      <w:proofErr w:type="gramStart"/>
      <w:r>
        <w:t>boil</w:t>
      </w:r>
      <w:proofErr w:type="gramEnd"/>
      <w:r>
        <w:t xml:space="preserve"> them for 3-5 minutes. Then put them into a frying pan and fry in oil or butter until</w:t>
      </w:r>
      <w:r>
        <w:tab/>
      </w:r>
    </w:p>
    <w:p w:rsidR="00DE526C" w:rsidRDefault="00212BC1">
      <w:r>
        <w:rPr>
          <w:lang w:val="lv-LV"/>
        </w:rPr>
        <w:t>dumplings</w:t>
      </w:r>
      <w:r>
        <w:t xml:space="preserve"> turn golden brown. You can serve them to your taste with sour cream, butter, cheese, tomato sauce and seasoning, Enjoy!</w:t>
      </w:r>
    </w:p>
    <w:p w:rsidR="00DE526C" w:rsidRDefault="00212BC1">
      <w:pPr>
        <w:rPr>
          <w:lang w:val="lv-LV"/>
        </w:rPr>
      </w:pPr>
      <w:r>
        <w:rPr>
          <w:lang w:val="lv-LV"/>
        </w:rPr>
        <w:t xml:space="preserve">                                    </w:t>
      </w:r>
    </w:p>
    <w:p w:rsidR="00DE526C" w:rsidRDefault="00DE526C">
      <w:pPr>
        <w:rPr>
          <w:lang w:val="lv-LV"/>
        </w:rPr>
      </w:pPr>
    </w:p>
    <w:p w:rsidR="00DE526C" w:rsidRDefault="00212BC1">
      <w:pPr>
        <w:rPr>
          <w:lang w:val="lv-LV"/>
        </w:rPr>
      </w:pPr>
      <w:r>
        <w:rPr>
          <w:lang w:val="lv-LV"/>
        </w:rPr>
        <w:t>8.</w:t>
      </w:r>
      <w:r>
        <w:rPr>
          <w:b/>
          <w:lang w:val="lv-LV"/>
        </w:rPr>
        <w:t>Best before</w:t>
      </w:r>
      <w:r>
        <w:rPr>
          <w:lang w:val="lv-LV"/>
        </w:rPr>
        <w:t>:    Dumplings</w:t>
      </w:r>
      <w:r>
        <w:rPr>
          <w:rStyle w:val="hps"/>
          <w:lang w:val="en"/>
        </w:rPr>
        <w:t xml:space="preserve"> with pork: </w:t>
      </w:r>
      <w:r>
        <w:rPr>
          <w:lang w:val="lv-LV"/>
        </w:rPr>
        <w:t>9 month (270 days) from production date.</w:t>
      </w:r>
    </w:p>
    <w:p w:rsidR="00DE526C" w:rsidRDefault="00212BC1">
      <w:pPr>
        <w:rPr>
          <w:lang w:val="lv-LV"/>
        </w:rPr>
      </w:pPr>
      <w:r>
        <w:rPr>
          <w:lang w:val="lv-LV"/>
        </w:rPr>
        <w:t>9.</w:t>
      </w:r>
      <w:r>
        <w:rPr>
          <w:b/>
          <w:lang w:val="lv-LV"/>
        </w:rPr>
        <w:t>Storage and transportation conditions</w:t>
      </w:r>
      <w:r>
        <w:rPr>
          <w:lang w:val="lv-LV"/>
        </w:rPr>
        <w:t>: not higher than -18°C.</w:t>
      </w:r>
    </w:p>
    <w:p w:rsidR="00DE526C" w:rsidRDefault="00212BC1">
      <w:pPr>
        <w:rPr>
          <w:lang w:val="lv-LV"/>
        </w:rPr>
      </w:pPr>
      <w:r>
        <w:rPr>
          <w:lang w:val="lv-LV"/>
        </w:rPr>
        <w:t xml:space="preserve">   Do not re-freeze after defrosting!</w:t>
      </w:r>
    </w:p>
    <w:p w:rsidR="00DE526C" w:rsidRDefault="00DE526C">
      <w:pPr>
        <w:rPr>
          <w:lang w:val="lv-LV"/>
        </w:rPr>
      </w:pPr>
    </w:p>
    <w:p w:rsidR="00DE526C" w:rsidRDefault="00DE526C">
      <w:pPr>
        <w:rPr>
          <w:lang w:val="lv-LV"/>
        </w:rPr>
      </w:pPr>
    </w:p>
    <w:p w:rsidR="00DE526C" w:rsidRDefault="00212BC1">
      <w:pPr>
        <w:rPr>
          <w:lang w:val="lv-LV"/>
        </w:rPr>
      </w:pPr>
      <w:r>
        <w:rPr>
          <w:lang w:val="lv-LV"/>
        </w:rPr>
        <w:t>SIA "BR Fabrika" confirms that raw materials, used to manufacture products, were inspected and insures that they comply with European Commission Regulation (EC) № 2073/2005 from November 15, 2005 and № 853/2004 from 29 April 2004 on foods requirements on  microbiological criteria.</w:t>
      </w:r>
    </w:p>
    <w:p w:rsidR="00DE526C" w:rsidRDefault="00DE526C">
      <w:pPr>
        <w:rPr>
          <w:lang w:val="lv-LV"/>
        </w:rPr>
      </w:pPr>
    </w:p>
    <w:p w:rsidR="00DE526C" w:rsidRDefault="00212BC1">
      <w:r>
        <w:rPr>
          <w:lang w:val="lv-LV"/>
        </w:rPr>
        <w:t xml:space="preserve">Riga, Latvia.                         </w:t>
      </w:r>
      <w:r>
        <w:rPr>
          <w:lang w:val="lv-LV"/>
        </w:rPr>
        <w:tab/>
      </w:r>
      <w:r>
        <w:rPr>
          <w:lang w:val="lv-LV"/>
        </w:rPr>
        <w:tab/>
      </w:r>
      <w:r>
        <w:rPr>
          <w:lang w:val="lv-LV"/>
        </w:rPr>
        <w:tab/>
        <w:t>Director :     Juris Lekūns</w:t>
      </w:r>
    </w:p>
    <w:p w:rsidR="00DE526C" w:rsidRDefault="00DE526C"/>
    <w:p w:rsidR="00DE526C" w:rsidRDefault="00212BC1">
      <w:r>
        <w:t>08.06.18</w:t>
      </w:r>
    </w:p>
    <w:p w:rsidR="00DE526C" w:rsidRDefault="00DE526C"/>
    <w:p w:rsidR="00DE526C" w:rsidRDefault="00DE526C"/>
    <w:p w:rsidR="00DE526C" w:rsidRDefault="00DE526C"/>
    <w:p w:rsidR="00DE526C" w:rsidRDefault="00DE526C"/>
    <w:p w:rsidR="00DE526C" w:rsidRDefault="00DE526C"/>
    <w:p w:rsidR="00DE526C" w:rsidRDefault="00DE526C"/>
    <w:p w:rsidR="00DE526C" w:rsidRDefault="00DE526C"/>
    <w:p w:rsidR="00DE526C" w:rsidRDefault="00DE526C"/>
    <w:p w:rsidR="00DE526C" w:rsidRDefault="00DE526C"/>
    <w:sectPr w:rsidR="00DE52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DC"/>
    <w:rsid w:val="00212BC1"/>
    <w:rsid w:val="00457847"/>
    <w:rsid w:val="005021E8"/>
    <w:rsid w:val="005B1B0F"/>
    <w:rsid w:val="00604CEC"/>
    <w:rsid w:val="007116DC"/>
    <w:rsid w:val="00933754"/>
    <w:rsid w:val="00B03A03"/>
    <w:rsid w:val="00D81BF8"/>
    <w:rsid w:val="00DE526C"/>
    <w:rsid w:val="382E4394"/>
  </w:rsids>
  <m:mathPr>
    <m:mathFont m:val="Cambria Math"/>
    <m:brkBin m:val="before"/>
    <m:brkBinSub m:val="--"/>
    <m:smallFrac m:val="0"/>
    <m:dispDef/>
    <m:lMargin m:val="0"/>
    <m:rMargin m:val="0"/>
    <m:defJc m:val="centerGroup"/>
    <m:wrapIndent m:val="1440"/>
    <m:intLim m:val="subSup"/>
    <m:naryLim m:val="undOvr"/>
  </m:mathPr>
  <w:themeFontLang w:val="ru-RU"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E9B85-3965-4592-91A7-7D52B4C1D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Balbiino AS</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Ülle Kääri</cp:lastModifiedBy>
  <cp:revision>2</cp:revision>
  <dcterms:created xsi:type="dcterms:W3CDTF">2020-04-17T11:31:00Z</dcterms:created>
  <dcterms:modified xsi:type="dcterms:W3CDTF">2020-04-17T11:31:00Z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